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Default="0061509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Monitor</w:t>
      </w: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Monitor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Zobrazovacia jednotka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displej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slúžiaci na zobrazovanie textových a grafických informácií v oblasti počítačov.</w:t>
      </w: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 to výstupné zariadenie, ktoré sa zapája do grafickej karty.</w:t>
      </w: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Základné typy:</w:t>
      </w:r>
    </w:p>
    <w:p w:rsidR="00395A52" w:rsidRPr="00E51FE4" w:rsidRDefault="007917A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28825" cy="2189103"/>
            <wp:effectExtent l="19050" t="0" r="9525" b="0"/>
            <wp:docPr id="3" name="Obrázok 4" descr="http://www.greenpc.com.au/sites/www.greenpc.com.au/files/19lc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pc.com.au/sites/www.greenpc.com.au/files/19lcd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4" cy="218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52"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93648" cy="2200275"/>
            <wp:effectExtent l="19050" t="0" r="0" b="0"/>
            <wp:docPr id="2" name="Obrázok 1" descr="http://www.gemstatecomputers.com/lt/images/monitor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mstatecomputers.com/lt/images/monitorc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4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FF" w:rsidRPr="00E51FE4" w:rsidRDefault="007917A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LCD (digitálne)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225FF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CRT (analógové)</w:t>
      </w: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Parametre:</w:t>
      </w:r>
    </w:p>
    <w:p w:rsidR="00E225FF" w:rsidRPr="00E51FE4" w:rsidRDefault="00E225FF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Veľkosť obrazu </w:t>
      </w:r>
      <w:hyperlink r:id="rId9" w:tooltip="Uhlopriečka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(uhlopriečka)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Palec (jednotka dĺžky)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palcoch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- najpredávanejšie 19“ až 22“ (1“ = 2,45 cm)</w:t>
      </w:r>
    </w:p>
    <w:p w:rsidR="00E225FF" w:rsidRPr="00E51FE4" w:rsidRDefault="00E225FF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Obnovovacia frekvencia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- 60 Hz až 100 Hz</w:t>
      </w:r>
    </w:p>
    <w:p w:rsidR="00E225FF" w:rsidRPr="00E51FE4" w:rsidRDefault="00E225FF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Pomer obrazu - 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štandardom je pomer 4:3, širokouhlé majú pomer obrazu 16:9. </w:t>
      </w:r>
    </w:p>
    <w:p w:rsidR="00E225FF" w:rsidRPr="00E51FE4" w:rsidRDefault="00E225FF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Rozlíšenie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- 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typické hodnoty sú 640x480, 800x600, 1024x768, 1280x1024. </w:t>
      </w: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5FF" w:rsidRPr="00E51FE4" w:rsidRDefault="00E225F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225FF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061A6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C1DE0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Zobrazovacia_jednot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.wikipedia.org/wiki/Palec_(jednotka_d%C4%BA%C5%BEky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Uhloprie%C4%8D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8A77-60FB-4828-AB5C-E197C738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2011-10-03T19:27:00Z</dcterms:modified>
</cp:coreProperties>
</file>